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D06" w:rsidRPr="00210F69" w:rsidRDefault="00210F69" w:rsidP="002F7D06">
      <w:pPr>
        <w:jc w:val="both"/>
        <w:rPr>
          <w:rFonts w:ascii="Arial" w:hAnsi="Arial" w:cs="Arial"/>
          <w:b/>
          <w:sz w:val="22"/>
          <w:szCs w:val="22"/>
        </w:rPr>
      </w:pPr>
      <w:r w:rsidRPr="00210F69">
        <w:rPr>
          <w:rFonts w:ascii="Arial" w:hAnsi="Arial" w:cs="Arial"/>
          <w:b/>
          <w:sz w:val="22"/>
          <w:szCs w:val="22"/>
        </w:rPr>
        <w:t>E.P.- 366 (08)</w:t>
      </w:r>
      <w:r w:rsidRPr="00210F69">
        <w:rPr>
          <w:rFonts w:cs="Arial"/>
          <w:b/>
          <w:bCs/>
          <w:lang w:val="es-MX"/>
        </w:rPr>
        <w:t xml:space="preserve"> </w:t>
      </w:r>
      <w:r w:rsidRPr="00210F69">
        <w:rPr>
          <w:rFonts w:ascii="Arial" w:hAnsi="Arial" w:cs="Arial"/>
          <w:b/>
          <w:sz w:val="22"/>
          <w:szCs w:val="22"/>
        </w:rPr>
        <w:t>LIMPIEZA SAND BLAST</w:t>
      </w:r>
    </w:p>
    <w:p w:rsidR="002F7D06" w:rsidRPr="00F63705" w:rsidRDefault="002F7D06" w:rsidP="002F7D06">
      <w:pPr>
        <w:jc w:val="both"/>
        <w:rPr>
          <w:sz w:val="22"/>
          <w:szCs w:val="22"/>
        </w:rPr>
      </w:pPr>
    </w:p>
    <w:p w:rsidR="002F7D06" w:rsidRPr="00930134" w:rsidRDefault="00210F69" w:rsidP="002F7D06">
      <w:pPr>
        <w:tabs>
          <w:tab w:val="left" w:pos="0"/>
        </w:tabs>
        <w:jc w:val="both"/>
        <w:rPr>
          <w:rFonts w:ascii="Arial" w:hAnsi="Arial" w:cs="Arial"/>
          <w:sz w:val="22"/>
          <w:szCs w:val="22"/>
        </w:rPr>
      </w:pPr>
      <w:r w:rsidRPr="00210F69">
        <w:rPr>
          <w:rFonts w:ascii="Arial" w:hAnsi="Arial" w:cs="Arial"/>
          <w:b/>
          <w:color w:val="000000"/>
          <w:sz w:val="22"/>
          <w:szCs w:val="22"/>
        </w:rPr>
        <w:t>EJECUCIÓN.-</w:t>
      </w:r>
      <w:r>
        <w:rPr>
          <w:rFonts w:ascii="Arial" w:hAnsi="Arial" w:cs="Arial"/>
          <w:color w:val="000000"/>
          <w:sz w:val="22"/>
          <w:szCs w:val="22"/>
        </w:rPr>
        <w:t xml:space="preserve"> </w:t>
      </w:r>
      <w:r w:rsidR="002F7D06" w:rsidRPr="00930134">
        <w:rPr>
          <w:rFonts w:ascii="Arial" w:hAnsi="Arial" w:cs="Arial"/>
          <w:color w:val="000000"/>
          <w:sz w:val="22"/>
          <w:szCs w:val="22"/>
        </w:rPr>
        <w:t xml:space="preserve">la limpieza </w:t>
      </w:r>
      <w:proofErr w:type="spellStart"/>
      <w:r>
        <w:rPr>
          <w:rFonts w:ascii="Arial" w:hAnsi="Arial" w:cs="Arial"/>
          <w:color w:val="000000"/>
          <w:sz w:val="22"/>
          <w:szCs w:val="22"/>
        </w:rPr>
        <w:t>Sand</w:t>
      </w:r>
      <w:proofErr w:type="spellEnd"/>
      <w:r>
        <w:rPr>
          <w:rFonts w:ascii="Arial" w:hAnsi="Arial" w:cs="Arial"/>
          <w:color w:val="000000"/>
          <w:sz w:val="22"/>
          <w:szCs w:val="22"/>
        </w:rPr>
        <w:t xml:space="preserve"> </w:t>
      </w:r>
      <w:proofErr w:type="spellStart"/>
      <w:r>
        <w:rPr>
          <w:rFonts w:ascii="Arial" w:hAnsi="Arial" w:cs="Arial"/>
          <w:color w:val="000000"/>
          <w:sz w:val="22"/>
          <w:szCs w:val="22"/>
        </w:rPr>
        <w:t>Blast</w:t>
      </w:r>
      <w:proofErr w:type="spellEnd"/>
      <w:r>
        <w:rPr>
          <w:rFonts w:ascii="Arial" w:hAnsi="Arial" w:cs="Arial"/>
          <w:color w:val="000000"/>
          <w:sz w:val="22"/>
          <w:szCs w:val="22"/>
        </w:rPr>
        <w:t xml:space="preserve"> </w:t>
      </w:r>
      <w:r w:rsidR="002F7D06" w:rsidRPr="00930134">
        <w:rPr>
          <w:rFonts w:ascii="Arial" w:hAnsi="Arial" w:cs="Arial"/>
          <w:color w:val="000000"/>
          <w:sz w:val="22"/>
          <w:szCs w:val="22"/>
        </w:rPr>
        <w:t xml:space="preserve">de las superficies por medio de chorro de arena, deberán ser </w:t>
      </w:r>
      <w:proofErr w:type="spellStart"/>
      <w:r w:rsidR="002F7D06" w:rsidRPr="00930134">
        <w:rPr>
          <w:rFonts w:ascii="Arial" w:hAnsi="Arial" w:cs="Arial"/>
          <w:color w:val="000000"/>
          <w:sz w:val="22"/>
          <w:szCs w:val="22"/>
        </w:rPr>
        <w:t>sopleteadas</w:t>
      </w:r>
      <w:proofErr w:type="spellEnd"/>
      <w:r w:rsidR="002F7D06" w:rsidRPr="00930134">
        <w:rPr>
          <w:rFonts w:ascii="Arial" w:hAnsi="Arial" w:cs="Arial"/>
          <w:color w:val="000000"/>
          <w:sz w:val="22"/>
          <w:szCs w:val="22"/>
        </w:rPr>
        <w:t xml:space="preserve"> con aire seco y libre de aceite, para remover todo residuo de polvo, de ser necesario se limpiara con solvente las áreas que presenten grasa, previo a la aplicación del sistema de recubrimiento</w:t>
      </w:r>
      <w:r>
        <w:rPr>
          <w:rFonts w:ascii="Arial" w:hAnsi="Arial" w:cs="Arial"/>
          <w:color w:val="000000"/>
          <w:sz w:val="22"/>
          <w:szCs w:val="22"/>
        </w:rPr>
        <w:t>.</w:t>
      </w:r>
    </w:p>
    <w:p w:rsidR="002F7D06" w:rsidRDefault="002F7D06" w:rsidP="002F7D06">
      <w:pPr>
        <w:tabs>
          <w:tab w:val="left" w:pos="0"/>
          <w:tab w:val="left" w:pos="1248"/>
        </w:tabs>
        <w:jc w:val="both"/>
        <w:rPr>
          <w:rFonts w:ascii="Arial" w:hAnsi="Arial" w:cs="Arial"/>
          <w:sz w:val="22"/>
          <w:szCs w:val="22"/>
        </w:rPr>
      </w:pPr>
    </w:p>
    <w:p w:rsidR="002F7D06" w:rsidRPr="00930134" w:rsidRDefault="002F7D06" w:rsidP="002F7D06">
      <w:pPr>
        <w:tabs>
          <w:tab w:val="left" w:pos="0"/>
          <w:tab w:val="left" w:pos="1248"/>
        </w:tabs>
        <w:jc w:val="both"/>
        <w:rPr>
          <w:rFonts w:ascii="Arial" w:hAnsi="Arial" w:cs="Arial"/>
          <w:sz w:val="22"/>
          <w:szCs w:val="22"/>
        </w:rPr>
      </w:pPr>
      <w:r w:rsidRPr="00930134">
        <w:rPr>
          <w:rFonts w:ascii="Arial" w:hAnsi="Arial" w:cs="Arial"/>
          <w:sz w:val="22"/>
          <w:szCs w:val="22"/>
        </w:rPr>
        <w:t>La aplicación de los productos para protección anticorrosiva en elementos metálicos, se hará siguiendo las especificaciones y recomendaciones del fabricante para lograr una aplicación óptima.</w:t>
      </w:r>
    </w:p>
    <w:p w:rsidR="002F7D06" w:rsidRPr="00930134" w:rsidRDefault="002F7D06" w:rsidP="002F7D06">
      <w:pPr>
        <w:tabs>
          <w:tab w:val="left" w:pos="0"/>
        </w:tabs>
        <w:jc w:val="both"/>
        <w:rPr>
          <w:rFonts w:ascii="Arial" w:hAnsi="Arial" w:cs="Arial"/>
          <w:sz w:val="22"/>
          <w:szCs w:val="22"/>
        </w:rPr>
      </w:pPr>
    </w:p>
    <w:p w:rsidR="002F7D06" w:rsidRPr="00930134" w:rsidRDefault="002F7D06" w:rsidP="002F7D06">
      <w:pPr>
        <w:numPr>
          <w:ilvl w:val="0"/>
          <w:numId w:val="2"/>
        </w:numPr>
        <w:tabs>
          <w:tab w:val="left" w:pos="0"/>
        </w:tabs>
        <w:ind w:left="0" w:firstLine="0"/>
        <w:jc w:val="both"/>
        <w:rPr>
          <w:rFonts w:ascii="Arial" w:hAnsi="Arial" w:cs="Arial"/>
          <w:sz w:val="22"/>
          <w:szCs w:val="22"/>
        </w:rPr>
      </w:pPr>
      <w:r w:rsidRPr="00930134">
        <w:rPr>
          <w:rFonts w:ascii="Arial" w:hAnsi="Arial" w:cs="Arial"/>
          <w:sz w:val="22"/>
          <w:szCs w:val="22"/>
        </w:rPr>
        <w:t>La medición s</w:t>
      </w:r>
      <w:bookmarkStart w:id="0" w:name="_GoBack"/>
      <w:bookmarkEnd w:id="0"/>
      <w:r w:rsidRPr="00930134">
        <w:rPr>
          <w:rFonts w:ascii="Arial" w:hAnsi="Arial" w:cs="Arial"/>
          <w:sz w:val="22"/>
          <w:szCs w:val="22"/>
        </w:rPr>
        <w:t>e hará tomando como unidad el metro cuadrado (m2) de superficie limpia</w:t>
      </w:r>
      <w:r>
        <w:rPr>
          <w:rFonts w:ascii="Arial" w:hAnsi="Arial" w:cs="Arial"/>
          <w:sz w:val="22"/>
          <w:szCs w:val="22"/>
        </w:rPr>
        <w:t xml:space="preserve"> y tratada con los productos para la protección anticorrosiva</w:t>
      </w:r>
      <w:r w:rsidRPr="00930134">
        <w:rPr>
          <w:rFonts w:ascii="Arial" w:hAnsi="Arial" w:cs="Arial"/>
          <w:sz w:val="22"/>
          <w:szCs w:val="22"/>
        </w:rPr>
        <w:t xml:space="preserve"> de acuerdo a proyecto</w:t>
      </w:r>
      <w:r>
        <w:rPr>
          <w:rFonts w:ascii="Arial" w:hAnsi="Arial" w:cs="Arial"/>
          <w:sz w:val="22"/>
          <w:szCs w:val="22"/>
        </w:rPr>
        <w:t xml:space="preserve"> y especificaciones</w:t>
      </w:r>
      <w:r w:rsidRPr="00930134">
        <w:rPr>
          <w:rFonts w:ascii="Arial" w:hAnsi="Arial" w:cs="Arial"/>
          <w:sz w:val="22"/>
          <w:szCs w:val="22"/>
        </w:rPr>
        <w:t>, basándose en las cantidades indic</w:t>
      </w:r>
      <w:r>
        <w:rPr>
          <w:rFonts w:ascii="Arial" w:hAnsi="Arial" w:cs="Arial"/>
          <w:sz w:val="22"/>
          <w:szCs w:val="22"/>
        </w:rPr>
        <w:t>adas en esta especificación, en los cuales dicha protección tendrá una vida útil con garantía de 20 años</w:t>
      </w:r>
      <w:r w:rsidRPr="00930134">
        <w:rPr>
          <w:rFonts w:ascii="Arial" w:hAnsi="Arial" w:cs="Arial"/>
          <w:sz w:val="22"/>
          <w:szCs w:val="22"/>
        </w:rPr>
        <w:t>.</w:t>
      </w:r>
    </w:p>
    <w:p w:rsidR="002F7D06" w:rsidRPr="00930134" w:rsidRDefault="002F7D06" w:rsidP="002F7D06">
      <w:pPr>
        <w:tabs>
          <w:tab w:val="left" w:pos="0"/>
        </w:tabs>
        <w:jc w:val="both"/>
        <w:rPr>
          <w:rFonts w:ascii="Arial" w:hAnsi="Arial" w:cs="Arial"/>
          <w:sz w:val="22"/>
          <w:szCs w:val="22"/>
        </w:rPr>
      </w:pPr>
    </w:p>
    <w:p w:rsidR="002F7D06" w:rsidRPr="00930134" w:rsidRDefault="002F7D06" w:rsidP="002F7D06">
      <w:pPr>
        <w:numPr>
          <w:ilvl w:val="0"/>
          <w:numId w:val="3"/>
        </w:numPr>
        <w:tabs>
          <w:tab w:val="left" w:pos="0"/>
        </w:tabs>
        <w:ind w:left="0" w:firstLine="0"/>
        <w:jc w:val="both"/>
        <w:rPr>
          <w:rFonts w:ascii="Arial" w:hAnsi="Arial" w:cs="Arial"/>
          <w:sz w:val="22"/>
          <w:szCs w:val="22"/>
        </w:rPr>
      </w:pPr>
      <w:r w:rsidRPr="00930134">
        <w:rPr>
          <w:rFonts w:ascii="Arial" w:hAnsi="Arial" w:cs="Arial"/>
          <w:sz w:val="22"/>
          <w:szCs w:val="22"/>
        </w:rPr>
        <w:t xml:space="preserve">El pago por unidad de obra terminada, se hará al precio unitario fijado en el contrato para el metro cuadrado (m2) de superficie limpia de acuerdo a proyecto. Este precio unitario incluye lo que corresponda por: adquisición de la arena </w:t>
      </w:r>
      <w:proofErr w:type="spellStart"/>
      <w:r w:rsidRPr="00930134">
        <w:rPr>
          <w:rFonts w:ascii="Arial" w:hAnsi="Arial" w:cs="Arial"/>
          <w:sz w:val="22"/>
          <w:szCs w:val="22"/>
        </w:rPr>
        <w:t>sílica</w:t>
      </w:r>
      <w:proofErr w:type="spellEnd"/>
      <w:r w:rsidRPr="00930134">
        <w:rPr>
          <w:rFonts w:ascii="Arial" w:hAnsi="Arial" w:cs="Arial"/>
          <w:sz w:val="22"/>
          <w:szCs w:val="22"/>
        </w:rPr>
        <w:t xml:space="preserve"> graduada; adquisición o renta  del equipo para realizar  la limpieza con chorro de arena; adquisición de las protecciones para recuperar el material abrasivo; cargas y descargas de materiales y equipo; transporte al lugar de la obra; almacenamiento; protección del material abrasivo; manejo de los materiales; mermas y desperdicios; costos de las pasarelas empleadas en los trabajos; aplicación del chorro de arena en las superficies por limpiar; costos de la recuperación del material abrasivo y limpieza del mismo para reutilizarse; lo que corresponda por adquisición o renta de equipo, de aplicación; adquisición y aplicación de materiales, transportes y almacenamiento; cargas y descargas; cargos por herramienta, mano de obra especializada, mano de obra en general, pasarelas o canastillas de acceso; costo de los movimientos de pasarelas o canastillas; aplicación de acuerdo al proveedor; limpieza de la zona de trabajo; y en general todos los equipos, materiales y mano de obra necesarios para la correcta ejecución de este trabajo</w:t>
      </w:r>
      <w:r>
        <w:rPr>
          <w:rFonts w:ascii="Arial" w:hAnsi="Arial" w:cs="Arial"/>
          <w:sz w:val="22"/>
          <w:szCs w:val="22"/>
        </w:rPr>
        <w:t xml:space="preserve">, </w:t>
      </w:r>
      <w:r w:rsidRPr="00930134">
        <w:rPr>
          <w:rFonts w:ascii="Arial" w:hAnsi="Arial" w:cs="Arial"/>
          <w:sz w:val="22"/>
          <w:szCs w:val="22"/>
        </w:rPr>
        <w:t>costos del señalamiento</w:t>
      </w:r>
      <w:r>
        <w:rPr>
          <w:rFonts w:ascii="Arial" w:hAnsi="Arial" w:cs="Arial"/>
          <w:sz w:val="22"/>
          <w:szCs w:val="22"/>
        </w:rPr>
        <w:t>,</w:t>
      </w:r>
      <w:r w:rsidRPr="00930134">
        <w:rPr>
          <w:rFonts w:ascii="Arial" w:hAnsi="Arial" w:cs="Arial"/>
          <w:sz w:val="22"/>
          <w:szCs w:val="22"/>
        </w:rPr>
        <w:t xml:space="preserve"> mano de obra calificada; tiempo de los vehículos empleados en los transportes; pago de patente y regalías; limpieza de la obra en general  y en general todo lo necesario para una correcta ejecución de estos trabajos.</w:t>
      </w:r>
    </w:p>
    <w:p w:rsidR="002F7D06" w:rsidRPr="00930134" w:rsidRDefault="002F7D06" w:rsidP="002F7D06">
      <w:pPr>
        <w:tabs>
          <w:tab w:val="left" w:pos="0"/>
        </w:tabs>
        <w:jc w:val="both"/>
        <w:rPr>
          <w:rFonts w:ascii="Arial" w:hAnsi="Arial" w:cs="Arial"/>
          <w:sz w:val="22"/>
          <w:szCs w:val="22"/>
        </w:rPr>
      </w:pPr>
      <w:r>
        <w:rPr>
          <w:rFonts w:ascii="Arial" w:hAnsi="Arial" w:cs="Arial"/>
          <w:sz w:val="22"/>
          <w:szCs w:val="22"/>
        </w:rPr>
        <w:t xml:space="preserve">Si los procedimientos de construcción que adopte el contratista implican transportar las piezas al lugar definitivo, deberán tomarse todas las precauciones necesarias para no dañar la aplicación de la protección durante el transporte de las piezas, en dado caso la contratista tendrá que reparar los daños ocasionados en el lugar </w:t>
      </w:r>
    </w:p>
    <w:p w:rsidR="004F1CF6" w:rsidRDefault="00210F69"/>
    <w:sectPr w:rsidR="004F1CF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B0562"/>
    <w:multiLevelType w:val="singleLevel"/>
    <w:tmpl w:val="B7165490"/>
    <w:lvl w:ilvl="0">
      <w:start w:val="1"/>
      <w:numFmt w:val="none"/>
      <w:lvlText w:val="BASE DE PAGO:"/>
      <w:legacy w:legacy="1" w:legacySpace="0" w:legacyIndent="1871"/>
      <w:lvlJc w:val="left"/>
      <w:pPr>
        <w:ind w:left="1871" w:hanging="1871"/>
      </w:pPr>
      <w:rPr>
        <w:b/>
        <w:i w:val="0"/>
        <w:sz w:val="22"/>
      </w:rPr>
    </w:lvl>
  </w:abstractNum>
  <w:abstractNum w:abstractNumId="1">
    <w:nsid w:val="23CF6BDB"/>
    <w:multiLevelType w:val="singleLevel"/>
    <w:tmpl w:val="B858BC46"/>
    <w:lvl w:ilvl="0">
      <w:start w:val="1"/>
      <w:numFmt w:val="none"/>
      <w:lvlText w:val="MEDICION:"/>
      <w:lvlJc w:val="left"/>
      <w:pPr>
        <w:tabs>
          <w:tab w:val="num" w:pos="0"/>
        </w:tabs>
        <w:ind w:left="1871" w:hanging="1871"/>
      </w:pPr>
      <w:rPr>
        <w:rFonts w:hint="default"/>
        <w:b/>
        <w:i w:val="0"/>
        <w:sz w:val="22"/>
      </w:rPr>
    </w:lvl>
  </w:abstractNum>
  <w:abstractNum w:abstractNumId="2">
    <w:nsid w:val="70A9504E"/>
    <w:multiLevelType w:val="singleLevel"/>
    <w:tmpl w:val="23329446"/>
    <w:lvl w:ilvl="0">
      <w:start w:val="1"/>
      <w:numFmt w:val="none"/>
      <w:lvlText w:val="EJECUCION:"/>
      <w:lvlJc w:val="left"/>
      <w:pPr>
        <w:tabs>
          <w:tab w:val="num" w:pos="0"/>
        </w:tabs>
        <w:ind w:left="1871" w:hanging="1871"/>
      </w:pPr>
      <w:rPr>
        <w:rFonts w:hint="default"/>
        <w:b/>
        <w:i w:val="0"/>
        <w:sz w:val="22"/>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D06"/>
    <w:rsid w:val="00210F69"/>
    <w:rsid w:val="00237873"/>
    <w:rsid w:val="002F7D06"/>
    <w:rsid w:val="008D5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D06"/>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2F7D06"/>
    <w:rPr>
      <w:rFonts w:ascii="Arial" w:hAnsi="Arial"/>
      <w:sz w:val="24"/>
      <w:lang w:val="en-US"/>
    </w:rPr>
  </w:style>
  <w:style w:type="character" w:customStyle="1" w:styleId="TextoindependienteCar">
    <w:name w:val="Texto independiente Car"/>
    <w:basedOn w:val="Fuentedeprrafopredeter"/>
    <w:link w:val="Textoindependiente"/>
    <w:rsid w:val="002F7D06"/>
    <w:rPr>
      <w:rFonts w:ascii="Arial" w:eastAsia="Times New Roman" w:hAnsi="Arial" w:cs="Times New Roman"/>
      <w:sz w:val="24"/>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D06"/>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2F7D06"/>
    <w:rPr>
      <w:rFonts w:ascii="Arial" w:hAnsi="Arial"/>
      <w:sz w:val="24"/>
      <w:lang w:val="en-US"/>
    </w:rPr>
  </w:style>
  <w:style w:type="character" w:customStyle="1" w:styleId="TextoindependienteCar">
    <w:name w:val="Texto independiente Car"/>
    <w:basedOn w:val="Fuentedeprrafopredeter"/>
    <w:link w:val="Textoindependiente"/>
    <w:rsid w:val="002F7D06"/>
    <w:rPr>
      <w:rFonts w:ascii="Arial" w:eastAsia="Times New Roman" w:hAnsi="Arial" w:cs="Times New Roman"/>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2299</Characters>
  <Application>Microsoft Office Word</Application>
  <DocSecurity>4</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Mastache Peña, William</dc:creator>
  <cp:lastModifiedBy>J1007</cp:lastModifiedBy>
  <cp:revision>2</cp:revision>
  <dcterms:created xsi:type="dcterms:W3CDTF">2014-05-22T23:25:00Z</dcterms:created>
  <dcterms:modified xsi:type="dcterms:W3CDTF">2014-05-22T23:25:00Z</dcterms:modified>
</cp:coreProperties>
</file>